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ascii="黑体" w:hAnsi="黑体" w:eastAsia="黑体" w:cs="Times New Roman"/>
          <w:sz w:val="36"/>
          <w:szCs w:val="40"/>
        </w:rPr>
      </w:pPr>
      <w:bookmarkStart w:id="0" w:name="_GoBack"/>
      <w:bookmarkEnd w:id="0"/>
      <w:r>
        <w:rPr>
          <w:rFonts w:hint="eastAsia" w:ascii="黑体" w:hAnsi="黑体" w:eastAsia="黑体" w:cs="Times New Roman"/>
          <w:sz w:val="36"/>
          <w:szCs w:val="40"/>
        </w:rPr>
        <w:t>数学科学学院202</w:t>
      </w:r>
      <w:r>
        <w:rPr>
          <w:rFonts w:hint="eastAsia" w:ascii="黑体" w:hAnsi="黑体" w:eastAsia="黑体" w:cs="Times New Roman"/>
          <w:sz w:val="36"/>
          <w:szCs w:val="40"/>
          <w:lang w:val="en-US" w:eastAsia="zh-CN"/>
        </w:rPr>
        <w:t>4</w:t>
      </w:r>
      <w:r>
        <w:rPr>
          <w:rFonts w:hint="eastAsia" w:ascii="黑体" w:hAnsi="黑体" w:eastAsia="黑体" w:cs="Times New Roman"/>
          <w:sz w:val="36"/>
          <w:szCs w:val="40"/>
        </w:rPr>
        <w:t>年推荐优秀本科生免试攻读研究生综合发展潜力遴选成绩评定细则</w:t>
      </w:r>
    </w:p>
    <w:p>
      <w:pPr>
        <w:spacing w:line="360" w:lineRule="auto"/>
        <w:ind w:firstLine="420"/>
        <w:rPr>
          <w:rFonts w:ascii="Times New Roman" w:hAnsi="Times New Roman" w:eastAsia="仿宋" w:cs="Times New Roman"/>
          <w:sz w:val="28"/>
          <w:szCs w:val="32"/>
        </w:rPr>
      </w:pPr>
    </w:p>
    <w:p>
      <w:pPr>
        <w:spacing w:line="360" w:lineRule="auto"/>
        <w:ind w:firstLine="420"/>
        <w:rPr>
          <w:rFonts w:ascii="Times New Roman" w:hAnsi="Times New Roman" w:eastAsia="仿宋" w:cs="Times New Roman"/>
          <w:sz w:val="28"/>
          <w:szCs w:val="32"/>
        </w:rPr>
      </w:pPr>
      <w:r>
        <w:rPr>
          <w:rFonts w:hint="eastAsia" w:ascii="Times New Roman" w:hAnsi="Times New Roman" w:eastAsia="仿宋" w:cs="Times New Roman"/>
          <w:sz w:val="28"/>
          <w:szCs w:val="32"/>
        </w:rPr>
        <w:t>本细则是对《复旦大学</w:t>
      </w:r>
      <w:r>
        <w:rPr>
          <w:rFonts w:ascii="Times New Roman" w:hAnsi="Times New Roman" w:eastAsia="仿宋" w:cs="Times New Roman"/>
          <w:sz w:val="28"/>
          <w:szCs w:val="32"/>
        </w:rPr>
        <w:t>推荐优秀本科毕业生免试攻读研究生工作实施办法</w:t>
      </w:r>
      <w:r>
        <w:rPr>
          <w:rFonts w:hint="eastAsia" w:ascii="Times New Roman" w:hAnsi="Times New Roman" w:eastAsia="仿宋" w:cs="Times New Roman"/>
          <w:sz w:val="21"/>
          <w:szCs w:val="21"/>
        </w:rPr>
        <w:t>（2023年9月修订）</w:t>
      </w:r>
      <w:r>
        <w:rPr>
          <w:rFonts w:hint="eastAsia" w:ascii="Times New Roman" w:hAnsi="Times New Roman" w:eastAsia="仿宋" w:cs="Times New Roman"/>
          <w:sz w:val="28"/>
          <w:szCs w:val="32"/>
        </w:rPr>
        <w:t>》（以下简称《实施方法》）中“综合发展潜力”指标的量化细则。</w:t>
      </w:r>
    </w:p>
    <w:p>
      <w:pPr>
        <w:spacing w:line="360" w:lineRule="auto"/>
        <w:ind w:firstLine="420"/>
        <w:rPr>
          <w:rFonts w:ascii="Times New Roman" w:hAnsi="Times New Roman" w:eastAsia="仿宋" w:cs="Times New Roman"/>
          <w:sz w:val="28"/>
          <w:szCs w:val="32"/>
        </w:rPr>
      </w:pPr>
      <w:r>
        <w:rPr>
          <w:rFonts w:hint="eastAsia" w:ascii="Times New Roman" w:hAnsi="Times New Roman" w:eastAsia="仿宋" w:cs="Times New Roman"/>
          <w:sz w:val="28"/>
          <w:szCs w:val="32"/>
        </w:rPr>
        <w:t>加强对申请人本科阶段德智体美劳全面发展情况和潜力的多元评价，具备全面发展潜力的申请人经学院推免生遴选专家小组评定，可获最多</w:t>
      </w:r>
      <w:r>
        <w:rPr>
          <w:rFonts w:ascii="Times New Roman" w:hAnsi="Times New Roman" w:eastAsia="仿宋" w:cs="Times New Roman"/>
          <w:sz w:val="28"/>
          <w:szCs w:val="32"/>
        </w:rPr>
        <w:t>8分。</w:t>
      </w:r>
    </w:p>
    <w:p>
      <w:pPr>
        <w:spacing w:line="360" w:lineRule="auto"/>
        <w:ind w:firstLine="420"/>
        <w:rPr>
          <w:rFonts w:ascii="Times New Roman" w:hAnsi="Times New Roman" w:eastAsia="仿宋" w:cs="Times New Roman"/>
          <w:sz w:val="28"/>
          <w:szCs w:val="32"/>
        </w:rPr>
      </w:pPr>
    </w:p>
    <w:p>
      <w:pPr>
        <w:pStyle w:val="8"/>
        <w:numPr>
          <w:ilvl w:val="255"/>
          <w:numId w:val="0"/>
        </w:numPr>
        <w:spacing w:line="360" w:lineRule="auto"/>
        <w:ind w:left="420"/>
        <w:rPr>
          <w:rFonts w:ascii="Times New Roman" w:hAnsi="Times New Roman" w:eastAsia="仿宋" w:cs="Times New Roman"/>
          <w:b/>
          <w:bCs/>
          <w:sz w:val="28"/>
          <w:szCs w:val="32"/>
        </w:rPr>
      </w:pPr>
      <w:r>
        <w:rPr>
          <w:rFonts w:hint="eastAsia" w:ascii="Times New Roman" w:hAnsi="Times New Roman" w:eastAsia="仿宋" w:cs="Times New Roman"/>
          <w:b/>
          <w:bCs/>
          <w:sz w:val="28"/>
          <w:szCs w:val="32"/>
        </w:rPr>
        <w:t>一、具备较强的专业能力：</w:t>
      </w:r>
    </w:p>
    <w:p>
      <w:pPr>
        <w:spacing w:line="360" w:lineRule="auto"/>
        <w:ind w:firstLine="420"/>
        <w:rPr>
          <w:rFonts w:ascii="Times New Roman" w:hAnsi="Times New Roman" w:eastAsia="仿宋" w:cs="Times New Roman"/>
          <w:sz w:val="28"/>
          <w:szCs w:val="32"/>
        </w:rPr>
      </w:pPr>
      <w:r>
        <w:rPr>
          <w:rFonts w:hint="eastAsia" w:ascii="Times New Roman" w:hAnsi="Times New Roman" w:eastAsia="仿宋" w:cs="Times New Roman"/>
          <w:sz w:val="28"/>
          <w:szCs w:val="32"/>
        </w:rPr>
        <w:t>以申请人本科生阶段已修读所有专业课程的平均绩点作为其专业综合成绩（仅限2</w:t>
      </w:r>
      <w:r>
        <w:rPr>
          <w:rFonts w:ascii="Times New Roman" w:hAnsi="Times New Roman" w:eastAsia="仿宋" w:cs="Times New Roman"/>
          <w:sz w:val="28"/>
          <w:szCs w:val="32"/>
        </w:rPr>
        <w:t>0</w:t>
      </w:r>
      <w:r>
        <w:rPr>
          <w:rFonts w:hint="eastAsia" w:ascii="Times New Roman" w:hAnsi="Times New Roman" w:eastAsia="仿宋" w:cs="Times New Roman"/>
          <w:sz w:val="28"/>
          <w:szCs w:val="32"/>
          <w:lang w:val="en-US" w:eastAsia="zh-CN"/>
        </w:rPr>
        <w:t>20</w:t>
      </w:r>
      <w:r>
        <w:rPr>
          <w:rFonts w:hint="eastAsia" w:ascii="Times New Roman" w:hAnsi="Times New Roman" w:eastAsia="仿宋" w:cs="Times New Roman"/>
          <w:sz w:val="28"/>
          <w:szCs w:val="32"/>
        </w:rPr>
        <w:t>级数学类培养方案中的专业培养课程，但因转专业等原因进行了学分转换与学分认定的课程除外），按照数学科学学院推免生遴选专业综合成绩折算公式（表</w:t>
      </w:r>
      <w:r>
        <w:rPr>
          <w:rFonts w:ascii="Times New Roman" w:hAnsi="Times New Roman" w:eastAsia="仿宋" w:cs="Times New Roman"/>
          <w:sz w:val="28"/>
          <w:szCs w:val="32"/>
        </w:rPr>
        <w:t>1</w:t>
      </w:r>
      <w:r>
        <w:rPr>
          <w:rFonts w:hint="eastAsia" w:ascii="Times New Roman" w:hAnsi="Times New Roman" w:eastAsia="仿宋" w:cs="Times New Roman"/>
          <w:sz w:val="28"/>
          <w:szCs w:val="32"/>
        </w:rPr>
        <w:t>）进行折算，专业成绩高于3.</w:t>
      </w:r>
      <w:r>
        <w:rPr>
          <w:rFonts w:ascii="Times New Roman" w:hAnsi="Times New Roman" w:eastAsia="仿宋" w:cs="Times New Roman"/>
          <w:sz w:val="28"/>
          <w:szCs w:val="32"/>
        </w:rPr>
        <w:t>3</w:t>
      </w:r>
      <w:r>
        <w:rPr>
          <w:rFonts w:hint="eastAsia" w:ascii="Times New Roman" w:hAnsi="Times New Roman" w:eastAsia="仿宋" w:cs="Times New Roman"/>
          <w:sz w:val="28"/>
          <w:szCs w:val="32"/>
        </w:rPr>
        <w:t>的，按照公式折算后计入遴选总成绩，可获最多3分；低于3.</w:t>
      </w:r>
      <w:r>
        <w:rPr>
          <w:rFonts w:ascii="Times New Roman" w:hAnsi="Times New Roman" w:eastAsia="仿宋" w:cs="Times New Roman"/>
          <w:sz w:val="28"/>
          <w:szCs w:val="32"/>
        </w:rPr>
        <w:t>3</w:t>
      </w:r>
      <w:r>
        <w:rPr>
          <w:rFonts w:hint="eastAsia" w:ascii="Times New Roman" w:hAnsi="Times New Roman" w:eastAsia="仿宋" w:cs="Times New Roman"/>
          <w:sz w:val="28"/>
          <w:szCs w:val="32"/>
        </w:rPr>
        <w:t>的，不获加分。</w:t>
      </w:r>
    </w:p>
    <w:p>
      <w:pPr>
        <w:widowControl/>
        <w:shd w:val="clear" w:color="auto" w:fill="FFFFFF"/>
        <w:spacing w:line="555" w:lineRule="atLeast"/>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表</w:t>
      </w:r>
      <w:r>
        <w:rPr>
          <w:rFonts w:ascii="Times New Roman" w:hAnsi="Times New Roman" w:eastAsia="仿宋" w:cs="Times New Roman"/>
          <w:color w:val="000000"/>
          <w:kern w:val="0"/>
          <w:sz w:val="28"/>
          <w:szCs w:val="28"/>
        </w:rPr>
        <w:t>1：</w:t>
      </w:r>
      <w:r>
        <w:rPr>
          <w:rFonts w:hint="eastAsia" w:ascii="Times New Roman" w:hAnsi="Times New Roman" w:eastAsia="仿宋" w:cs="Times New Roman"/>
          <w:color w:val="000000"/>
          <w:kern w:val="0"/>
          <w:sz w:val="28"/>
          <w:szCs w:val="28"/>
        </w:rPr>
        <w:t>数学科学学院推免生遴选专业综合成绩折算表</w:t>
      </w:r>
    </w:p>
    <w:tbl>
      <w:tblPr>
        <w:tblStyle w:val="5"/>
        <w:tblW w:w="725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96"/>
        <w:gridCol w:w="2505"/>
        <w:gridCol w:w="23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9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ascii="Times New Roman" w:hAnsi="Times New Roman" w:eastAsia="仿宋" w:cs="Times New Roman"/>
                <w:b/>
                <w:bCs/>
                <w:color w:val="000000"/>
                <w:kern w:val="0"/>
                <w:sz w:val="24"/>
                <w:szCs w:val="24"/>
              </w:rPr>
              <w:t>专业GPA区间</w:t>
            </w:r>
          </w:p>
        </w:tc>
        <w:tc>
          <w:tcPr>
            <w:tcW w:w="250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ascii="Times New Roman" w:hAnsi="Times New Roman" w:eastAsia="仿宋" w:cs="Times New Roman"/>
                <w:b/>
                <w:bCs/>
                <w:color w:val="000000"/>
                <w:kern w:val="0"/>
                <w:sz w:val="24"/>
                <w:szCs w:val="24"/>
              </w:rPr>
              <w:t>换算公式</w:t>
            </w:r>
          </w:p>
        </w:tc>
        <w:tc>
          <w:tcPr>
            <w:tcW w:w="235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color w:val="000000"/>
                <w:kern w:val="0"/>
                <w:sz w:val="24"/>
                <w:szCs w:val="24"/>
              </w:rPr>
              <w:t>遴选总成绩计分</w:t>
            </w:r>
          </w:p>
          <w:p>
            <w:pPr>
              <w:widowControl/>
              <w:jc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（小数点后位数不限）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39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3.3 - 4</w:t>
            </w:r>
          </w:p>
        </w:tc>
        <w:tc>
          <w:tcPr>
            <w:tcW w:w="25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=(30*GPA-99)/7</w:t>
            </w:r>
          </w:p>
        </w:tc>
        <w:tc>
          <w:tcPr>
            <w:tcW w:w="23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0 - 3.00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39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2</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3</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3</w:t>
            </w:r>
          </w:p>
        </w:tc>
        <w:tc>
          <w:tcPr>
            <w:tcW w:w="25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w:t>
            </w:r>
          </w:p>
        </w:tc>
        <w:tc>
          <w:tcPr>
            <w:tcW w:w="23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0</w:t>
            </w:r>
          </w:p>
        </w:tc>
      </w:tr>
    </w:tbl>
    <w:p>
      <w:pPr>
        <w:pStyle w:val="8"/>
        <w:numPr>
          <w:ilvl w:val="255"/>
          <w:numId w:val="0"/>
        </w:numPr>
        <w:spacing w:line="360" w:lineRule="auto"/>
        <w:ind w:left="0" w:firstLine="0" w:firstLineChars="0"/>
        <w:rPr>
          <w:rFonts w:ascii="Times New Roman" w:hAnsi="Times New Roman" w:eastAsia="仿宋" w:cs="Times New Roman"/>
          <w:b/>
          <w:bCs/>
          <w:sz w:val="28"/>
          <w:szCs w:val="32"/>
        </w:rPr>
      </w:pPr>
      <w:r>
        <w:rPr>
          <w:rFonts w:hint="eastAsia" w:ascii="Times New Roman" w:hAnsi="Times New Roman" w:eastAsia="仿宋" w:cs="Times New Roman"/>
          <w:b/>
          <w:bCs/>
          <w:sz w:val="28"/>
          <w:szCs w:val="32"/>
        </w:rPr>
        <w:t>二、参加学科竞赛表现优异：</w:t>
      </w:r>
    </w:p>
    <w:p>
      <w:pPr>
        <w:spacing w:line="360" w:lineRule="auto"/>
        <w:ind w:firstLine="420"/>
        <w:rPr>
          <w:rFonts w:ascii="Times New Roman" w:hAnsi="Times New Roman" w:eastAsia="仿宋" w:cs="Times New Roman"/>
          <w:sz w:val="28"/>
          <w:szCs w:val="32"/>
        </w:rPr>
      </w:pPr>
      <w:r>
        <w:rPr>
          <w:rFonts w:hint="eastAsia" w:ascii="Times New Roman" w:hAnsi="Times New Roman" w:eastAsia="仿宋" w:cs="Times New Roman"/>
          <w:sz w:val="28"/>
          <w:szCs w:val="32"/>
        </w:rPr>
        <w:t>申请人本科阶段作为唯一队员或主力队员参加学科相关的国内权威竞赛（全国赛）或相当的国际赛事，取得相应奖项，按照《</w:t>
      </w:r>
      <w:r>
        <w:rPr>
          <w:rFonts w:ascii="Times New Roman" w:hAnsi="Times New Roman" w:eastAsia="仿宋" w:cs="Times New Roman"/>
          <w:sz w:val="28"/>
          <w:szCs w:val="32"/>
        </w:rPr>
        <w:t>实施办法</w:t>
      </w:r>
      <w:r>
        <w:rPr>
          <w:rFonts w:hint="eastAsia" w:ascii="Times New Roman" w:hAnsi="Times New Roman" w:eastAsia="仿宋" w:cs="Times New Roman"/>
          <w:sz w:val="28"/>
          <w:szCs w:val="32"/>
        </w:rPr>
        <w:t>》中所述标准，经过学院推免生遴选专家小组审核认定，获得相应加分。</w:t>
      </w:r>
    </w:p>
    <w:p>
      <w:pPr>
        <w:spacing w:line="360" w:lineRule="auto"/>
        <w:ind w:firstLine="420"/>
        <w:rPr>
          <w:rFonts w:ascii="Times New Roman" w:hAnsi="Times New Roman" w:eastAsia="仿宋" w:cs="Times New Roman"/>
          <w:sz w:val="28"/>
          <w:szCs w:val="32"/>
        </w:rPr>
      </w:pPr>
      <w:r>
        <w:rPr>
          <w:rFonts w:hint="eastAsia" w:ascii="Times New Roman" w:hAnsi="Times New Roman" w:eastAsia="仿宋" w:cs="Times New Roman"/>
          <w:sz w:val="28"/>
          <w:szCs w:val="32"/>
        </w:rPr>
        <w:t>参加学科相关的国内权威竞赛（地区赛）或其他赛事，取得相应奖项，按照《</w:t>
      </w:r>
      <w:r>
        <w:rPr>
          <w:rFonts w:hint="eastAsia" w:ascii="Times New Roman" w:hAnsi="Times New Roman" w:eastAsia="仿宋" w:cs="Times New Roman"/>
          <w:color w:val="000000"/>
          <w:kern w:val="0"/>
          <w:sz w:val="28"/>
          <w:szCs w:val="28"/>
        </w:rPr>
        <w:t>数学科学学院推免生遴选学科竞赛认定表》（表</w:t>
      </w:r>
      <w:r>
        <w:rPr>
          <w:rFonts w:ascii="Times New Roman" w:hAnsi="Times New Roman" w:eastAsia="仿宋" w:cs="Times New Roman"/>
          <w:color w:val="000000"/>
          <w:kern w:val="0"/>
          <w:sz w:val="28"/>
          <w:szCs w:val="28"/>
        </w:rPr>
        <w:t>2</w:t>
      </w:r>
      <w:r>
        <w:rPr>
          <w:rFonts w:hint="eastAsia" w:ascii="Times New Roman" w:hAnsi="Times New Roman" w:eastAsia="仿宋" w:cs="Times New Roman"/>
          <w:color w:val="000000"/>
          <w:kern w:val="0"/>
          <w:sz w:val="28"/>
          <w:szCs w:val="28"/>
        </w:rPr>
        <w:t>）中所述标准，</w:t>
      </w:r>
      <w:r>
        <w:rPr>
          <w:rFonts w:hint="eastAsia" w:ascii="Times New Roman" w:hAnsi="Times New Roman" w:eastAsia="仿宋" w:cs="Times New Roman"/>
          <w:sz w:val="28"/>
          <w:szCs w:val="32"/>
        </w:rPr>
        <w:t>经过学院推免生遴选专家小组审核认定，获得相应加分。</w:t>
      </w:r>
    </w:p>
    <w:p>
      <w:pPr>
        <w:spacing w:line="360" w:lineRule="auto"/>
        <w:ind w:firstLine="420"/>
        <w:rPr>
          <w:rFonts w:ascii="Times New Roman" w:hAnsi="Times New Roman" w:eastAsia="仿宋" w:cs="Times New Roman"/>
          <w:sz w:val="28"/>
          <w:szCs w:val="32"/>
        </w:rPr>
      </w:pPr>
      <w:r>
        <w:rPr>
          <w:rFonts w:hint="eastAsia" w:ascii="Times New Roman" w:hAnsi="Times New Roman" w:eastAsia="仿宋" w:cs="Times New Roman"/>
          <w:sz w:val="28"/>
          <w:szCs w:val="32"/>
        </w:rPr>
        <w:t>在多项竞赛中获奖不累积计分，只取最高一项竞赛奖项得分计入遴选总成绩。竞赛指标得分与《实施方法》中所述竞赛加分标准不重复计算，只取最高一项得分计入遴选总成绩。</w:t>
      </w:r>
      <w:r>
        <w:rPr>
          <w:rFonts w:hint="eastAsia" w:ascii="Times New Roman" w:hAnsi="Times New Roman" w:eastAsia="仿宋" w:cs="Times New Roman"/>
          <w:color w:val="000000"/>
          <w:kern w:val="0"/>
          <w:sz w:val="28"/>
          <w:szCs w:val="28"/>
        </w:rPr>
        <w:t>其他在《复旦大学本科生学科竞赛工作管理办法》</w:t>
      </w:r>
      <w:r>
        <w:rPr>
          <w:rFonts w:ascii="Times New Roman" w:hAnsi="Times New Roman" w:eastAsia="仿宋" w:cs="Times New Roman"/>
          <w:color w:val="000000"/>
          <w:kern w:val="0"/>
          <w:sz w:val="28"/>
          <w:szCs w:val="28"/>
        </w:rPr>
        <w:t>202</w:t>
      </w:r>
      <w:r>
        <w:rPr>
          <w:rFonts w:hint="eastAsia" w:ascii="Times New Roman" w:hAnsi="Times New Roman" w:eastAsia="仿宋" w:cs="Times New Roman"/>
          <w:color w:val="000000"/>
          <w:kern w:val="0"/>
          <w:sz w:val="28"/>
          <w:szCs w:val="28"/>
          <w:lang w:val="en-US" w:eastAsia="zh-CN"/>
        </w:rPr>
        <w:t>3</w:t>
      </w:r>
      <w:r>
        <w:rPr>
          <w:rFonts w:ascii="Times New Roman" w:hAnsi="Times New Roman" w:eastAsia="仿宋" w:cs="Times New Roman"/>
          <w:color w:val="000000"/>
          <w:kern w:val="0"/>
          <w:sz w:val="28"/>
          <w:szCs w:val="28"/>
        </w:rPr>
        <w:t>年9月附录调整范围</w:t>
      </w:r>
      <w:r>
        <w:rPr>
          <w:rFonts w:hint="eastAsia" w:ascii="Times New Roman" w:hAnsi="Times New Roman" w:eastAsia="仿宋" w:cs="Times New Roman"/>
          <w:color w:val="000000"/>
          <w:kern w:val="0"/>
          <w:sz w:val="28"/>
          <w:szCs w:val="28"/>
        </w:rPr>
        <w:t>内的学科竞赛，竞赛获奖等级需经</w:t>
      </w:r>
      <w:r>
        <w:rPr>
          <w:rFonts w:hint="eastAsia" w:ascii="Times New Roman" w:hAnsi="Times New Roman" w:eastAsia="仿宋" w:cs="Times New Roman"/>
          <w:sz w:val="28"/>
          <w:szCs w:val="32"/>
        </w:rPr>
        <w:t>学院推免生遴选专家小组认定，并获得相应计分</w:t>
      </w:r>
      <w:r>
        <w:rPr>
          <w:rFonts w:ascii="Times New Roman" w:hAnsi="Times New Roman" w:eastAsia="仿宋" w:cs="Times New Roman"/>
          <w:color w:val="000000"/>
          <w:kern w:val="0"/>
          <w:sz w:val="28"/>
          <w:szCs w:val="28"/>
        </w:rPr>
        <w:t>。</w:t>
      </w:r>
    </w:p>
    <w:p>
      <w:pPr>
        <w:spacing w:line="360" w:lineRule="auto"/>
        <w:ind w:firstLine="420"/>
        <w:rPr>
          <w:rFonts w:ascii="Times New Roman" w:hAnsi="Times New Roman" w:eastAsia="仿宋" w:cs="Times New Roman"/>
          <w:color w:val="000000"/>
          <w:kern w:val="0"/>
          <w:sz w:val="28"/>
          <w:szCs w:val="28"/>
        </w:rPr>
      </w:pPr>
    </w:p>
    <w:p>
      <w:pPr>
        <w:spacing w:line="360" w:lineRule="auto"/>
        <w:rPr>
          <w:rFonts w:ascii="Times New Roman" w:hAnsi="Times New Roman" w:eastAsia="仿宋" w:cs="Times New Roman"/>
          <w:sz w:val="28"/>
          <w:szCs w:val="32"/>
        </w:rPr>
      </w:pPr>
      <w:r>
        <w:rPr>
          <w:rFonts w:hint="eastAsia" w:ascii="Times New Roman" w:hAnsi="Times New Roman" w:eastAsia="仿宋" w:cs="Times New Roman"/>
          <w:color w:val="000000"/>
          <w:kern w:val="0"/>
          <w:sz w:val="28"/>
          <w:szCs w:val="28"/>
        </w:rPr>
        <w:t>表</w:t>
      </w:r>
      <w:r>
        <w:rPr>
          <w:rFonts w:ascii="Times New Roman" w:hAnsi="Times New Roman" w:eastAsia="仿宋" w:cs="Times New Roman"/>
          <w:color w:val="000000"/>
          <w:kern w:val="0"/>
          <w:sz w:val="28"/>
          <w:szCs w:val="28"/>
        </w:rPr>
        <w:t>2：</w:t>
      </w:r>
      <w:r>
        <w:rPr>
          <w:rFonts w:hint="eastAsia" w:ascii="Times New Roman" w:hAnsi="Times New Roman" w:eastAsia="仿宋" w:cs="Times New Roman"/>
          <w:color w:val="000000"/>
          <w:kern w:val="0"/>
          <w:sz w:val="28"/>
          <w:szCs w:val="28"/>
        </w:rPr>
        <w:t>数学科学学院推免生遴选学科竞赛认定表</w:t>
      </w:r>
    </w:p>
    <w:tbl>
      <w:tblPr>
        <w:tblStyle w:val="5"/>
        <w:tblW w:w="863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85"/>
        <w:gridCol w:w="2126"/>
        <w:gridCol w:w="3260"/>
        <w:gridCol w:w="2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85" w:type="dxa"/>
            <w:tcBorders>
              <w:top w:val="single" w:color="000000" w:sz="6" w:space="0"/>
              <w:left w:val="single" w:color="000000" w:sz="6" w:space="0"/>
              <w:bottom w:val="single" w:color="auto" w:sz="6" w:space="0"/>
              <w:right w:val="single" w:color="000000" w:sz="6" w:space="0"/>
            </w:tcBorders>
            <w:vAlign w:val="center"/>
          </w:tcPr>
          <w:p>
            <w:pPr>
              <w:widowControl/>
              <w:spacing w:line="270" w:lineRule="atLeast"/>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竞赛级别</w:t>
            </w:r>
          </w:p>
        </w:tc>
        <w:tc>
          <w:tcPr>
            <w:tcW w:w="2126" w:type="dxa"/>
            <w:tcBorders>
              <w:top w:val="single" w:color="000000" w:sz="6" w:space="0"/>
              <w:left w:val="single" w:color="000000"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b/>
                <w:bCs/>
                <w:color w:val="000000"/>
                <w:kern w:val="0"/>
                <w:sz w:val="24"/>
                <w:szCs w:val="24"/>
              </w:rPr>
              <w:t>竞赛名称</w:t>
            </w:r>
          </w:p>
        </w:tc>
        <w:tc>
          <w:tcPr>
            <w:tcW w:w="3260" w:type="dxa"/>
            <w:tcBorders>
              <w:top w:val="single" w:color="000000"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奖项级别</w:t>
            </w:r>
          </w:p>
        </w:tc>
        <w:tc>
          <w:tcPr>
            <w:tcW w:w="2268" w:type="dxa"/>
            <w:tcBorders>
              <w:top w:val="single" w:color="000000"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color w:val="000000"/>
                <w:kern w:val="0"/>
                <w:sz w:val="24"/>
                <w:szCs w:val="24"/>
              </w:rPr>
              <w:t>遴选总成绩计分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985" w:type="dxa"/>
            <w:vMerge w:val="restart"/>
            <w:tcBorders>
              <w:top w:val="single" w:color="auto" w:sz="6" w:space="0"/>
              <w:left w:val="single" w:color="000000" w:sz="6" w:space="0"/>
              <w:bottom w:val="single" w:color="auto" w:sz="6" w:space="0"/>
              <w:right w:val="single" w:color="000000" w:sz="6" w:space="0"/>
            </w:tcBorders>
            <w:vAlign w:val="center"/>
          </w:tcPr>
          <w:p>
            <w:pPr>
              <w:widowControl/>
              <w:spacing w:line="270" w:lineRule="atLeast"/>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国家级</w:t>
            </w:r>
          </w:p>
        </w:tc>
        <w:tc>
          <w:tcPr>
            <w:tcW w:w="2126" w:type="dxa"/>
            <w:vMerge w:val="restart"/>
            <w:tcBorders>
              <w:top w:val="single" w:color="auto" w:sz="6" w:space="0"/>
              <w:left w:val="single" w:color="000000"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丘成桐大学生数学竞赛</w:t>
            </w:r>
          </w:p>
        </w:tc>
        <w:tc>
          <w:tcPr>
            <w:tcW w:w="3260" w:type="dxa"/>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入围总决赛但未获奖</w:t>
            </w:r>
          </w:p>
        </w:tc>
        <w:tc>
          <w:tcPr>
            <w:tcW w:w="2268" w:type="dxa"/>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985" w:type="dxa"/>
            <w:vMerge w:val="continue"/>
            <w:tcBorders>
              <w:top w:val="single" w:color="auto" w:sz="6" w:space="0"/>
              <w:left w:val="single" w:color="000000" w:sz="6" w:space="0"/>
              <w:bottom w:val="single" w:color="auto" w:sz="6" w:space="0"/>
              <w:right w:val="single" w:color="000000" w:sz="6" w:space="0"/>
            </w:tcBorders>
            <w:vAlign w:val="center"/>
          </w:tcPr>
          <w:p>
            <w:pPr>
              <w:widowControl/>
              <w:spacing w:line="270" w:lineRule="atLeast"/>
              <w:jc w:val="center"/>
              <w:rPr>
                <w:rFonts w:ascii="Times New Roman" w:hAnsi="Times New Roman" w:eastAsia="仿宋" w:cs="Times New Roman"/>
                <w:color w:val="000000"/>
                <w:kern w:val="0"/>
                <w:sz w:val="24"/>
                <w:szCs w:val="24"/>
              </w:rPr>
            </w:pPr>
          </w:p>
        </w:tc>
        <w:tc>
          <w:tcPr>
            <w:tcW w:w="2126" w:type="dxa"/>
            <w:vMerge w:val="continue"/>
            <w:tcBorders>
              <w:top w:val="single" w:color="auto" w:sz="6" w:space="0"/>
              <w:left w:val="single" w:color="000000"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p>
        </w:tc>
        <w:tc>
          <w:tcPr>
            <w:tcW w:w="3260" w:type="dxa"/>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笔试阶段优胜</w:t>
            </w:r>
          </w:p>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（未入围总决赛）</w:t>
            </w:r>
          </w:p>
        </w:tc>
        <w:tc>
          <w:tcPr>
            <w:tcW w:w="2268" w:type="dxa"/>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985" w:type="dxa"/>
            <w:vMerge w:val="continue"/>
            <w:tcBorders>
              <w:top w:val="single" w:color="auto" w:sz="6" w:space="0"/>
              <w:left w:val="single" w:color="000000" w:sz="6" w:space="0"/>
              <w:bottom w:val="single" w:color="auto" w:sz="6" w:space="0"/>
              <w:right w:val="single" w:color="000000" w:sz="6" w:space="0"/>
            </w:tcBorders>
            <w:vAlign w:val="center"/>
          </w:tcPr>
          <w:p>
            <w:pPr>
              <w:widowControl/>
              <w:spacing w:line="270" w:lineRule="atLeast"/>
              <w:jc w:val="center"/>
              <w:rPr>
                <w:rFonts w:ascii="Times New Roman" w:hAnsi="Times New Roman" w:eastAsia="仿宋" w:cs="Times New Roman"/>
                <w:color w:val="000000"/>
                <w:kern w:val="0"/>
                <w:sz w:val="24"/>
                <w:szCs w:val="24"/>
              </w:rPr>
            </w:pPr>
          </w:p>
        </w:tc>
        <w:tc>
          <w:tcPr>
            <w:tcW w:w="2126" w:type="dxa"/>
            <w:vMerge w:val="continue"/>
            <w:tcBorders>
              <w:top w:val="single" w:color="auto" w:sz="6" w:space="0"/>
              <w:left w:val="single" w:color="000000"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p>
        </w:tc>
        <w:tc>
          <w:tcPr>
            <w:tcW w:w="3260" w:type="dxa"/>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团体优胜奖</w:t>
            </w:r>
          </w:p>
        </w:tc>
        <w:tc>
          <w:tcPr>
            <w:tcW w:w="2268" w:type="dxa"/>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主力队员经认定</w:t>
            </w:r>
          </w:p>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0.</w:t>
            </w:r>
            <w:r>
              <w:rPr>
                <w:rFonts w:ascii="Times New Roman" w:hAnsi="Times New Roman" w:eastAsia="仿宋" w:cs="Times New Roman"/>
                <w:kern w:val="0"/>
                <w:sz w:val="24"/>
                <w:szCs w:val="24"/>
              </w:rPr>
              <w:t>5</w:t>
            </w:r>
            <w:r>
              <w:rPr>
                <w:rFonts w:hint="eastAsia" w:ascii="Times New Roman" w:hAnsi="Times New Roman" w:eastAsia="仿宋" w:cs="Times New Roman"/>
                <w:kern w:val="0"/>
                <w:sz w:val="24"/>
                <w:szCs w:val="24"/>
              </w:rPr>
              <w:t>分/人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985" w:type="dxa"/>
            <w:vMerge w:val="restart"/>
            <w:tcBorders>
              <w:top w:val="single" w:color="auto" w:sz="6" w:space="0"/>
              <w:left w:val="single" w:color="000000" w:sz="6" w:space="0"/>
              <w:bottom w:val="single" w:color="auto" w:sz="6" w:space="0"/>
              <w:right w:val="single" w:color="000000" w:sz="6" w:space="0"/>
            </w:tcBorders>
            <w:vAlign w:val="center"/>
          </w:tcPr>
          <w:p>
            <w:pPr>
              <w:widowControl/>
              <w:spacing w:line="270" w:lineRule="atLeast"/>
              <w:jc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省市级</w:t>
            </w:r>
          </w:p>
        </w:tc>
        <w:tc>
          <w:tcPr>
            <w:tcW w:w="2126" w:type="dxa"/>
            <w:tcBorders>
              <w:top w:val="single" w:color="auto" w:sz="6" w:space="0"/>
              <w:left w:val="single" w:color="000000"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全国大学生数学竞赛（上海赛区）</w:t>
            </w:r>
          </w:p>
        </w:tc>
        <w:tc>
          <w:tcPr>
            <w:tcW w:w="3260" w:type="dxa"/>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数学A类一等奖</w:t>
            </w:r>
          </w:p>
        </w:tc>
        <w:tc>
          <w:tcPr>
            <w:tcW w:w="2268" w:type="dxa"/>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985" w:type="dxa"/>
            <w:vMerge w:val="continue"/>
            <w:tcBorders>
              <w:top w:val="single" w:color="auto" w:sz="6" w:space="0"/>
              <w:left w:val="single" w:color="000000" w:sz="6" w:space="0"/>
              <w:bottom w:val="single" w:color="auto" w:sz="6" w:space="0"/>
              <w:right w:val="single" w:color="000000" w:sz="6" w:space="0"/>
            </w:tcBorders>
            <w:vAlign w:val="center"/>
          </w:tcPr>
          <w:p>
            <w:pPr>
              <w:widowControl/>
              <w:spacing w:line="270" w:lineRule="atLeast"/>
              <w:jc w:val="center"/>
              <w:rPr>
                <w:rFonts w:ascii="Times New Roman" w:hAnsi="Times New Roman" w:eastAsia="仿宋" w:cs="Times New Roman"/>
                <w:color w:val="000000"/>
                <w:kern w:val="0"/>
                <w:sz w:val="24"/>
                <w:szCs w:val="24"/>
              </w:rPr>
            </w:pPr>
          </w:p>
        </w:tc>
        <w:tc>
          <w:tcPr>
            <w:tcW w:w="2126" w:type="dxa"/>
            <w:tcBorders>
              <w:top w:val="single" w:color="auto"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全国大学生数学建模竞赛（上海赛区）</w:t>
            </w:r>
          </w:p>
        </w:tc>
        <w:tc>
          <w:tcPr>
            <w:tcW w:w="3260" w:type="dxa"/>
            <w:tcBorders>
              <w:top w:val="single" w:color="auto"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赛区一等奖</w:t>
            </w:r>
          </w:p>
        </w:tc>
        <w:tc>
          <w:tcPr>
            <w:tcW w:w="2268" w:type="dxa"/>
            <w:tcBorders>
              <w:top w:val="single" w:color="auto"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主力队员经认定</w:t>
            </w:r>
          </w:p>
          <w:p>
            <w:pPr>
              <w:widowControl/>
              <w:spacing w:line="270" w:lineRule="atLeas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0.</w:t>
            </w:r>
            <w:r>
              <w:rPr>
                <w:rFonts w:ascii="Times New Roman" w:hAnsi="Times New Roman" w:eastAsia="仿宋" w:cs="Times New Roman"/>
                <w:kern w:val="0"/>
                <w:sz w:val="24"/>
                <w:szCs w:val="24"/>
              </w:rPr>
              <w:t>5</w:t>
            </w:r>
            <w:r>
              <w:rPr>
                <w:rFonts w:hint="eastAsia" w:ascii="Times New Roman" w:hAnsi="Times New Roman" w:eastAsia="仿宋" w:cs="Times New Roman"/>
                <w:kern w:val="0"/>
                <w:sz w:val="24"/>
                <w:szCs w:val="24"/>
              </w:rPr>
              <w:t>分/人</w:t>
            </w:r>
          </w:p>
        </w:tc>
      </w:tr>
    </w:tbl>
    <w:p>
      <w:pPr>
        <w:spacing w:line="360" w:lineRule="auto"/>
        <w:rPr>
          <w:rFonts w:ascii="Times New Roman" w:hAnsi="Times New Roman" w:eastAsia="仿宋" w:cs="Times New Roman"/>
          <w:sz w:val="28"/>
          <w:szCs w:val="32"/>
        </w:rPr>
      </w:pPr>
    </w:p>
    <w:p>
      <w:pPr>
        <w:pStyle w:val="8"/>
        <w:numPr>
          <w:ilvl w:val="255"/>
          <w:numId w:val="0"/>
        </w:numPr>
        <w:spacing w:line="360" w:lineRule="auto"/>
        <w:ind w:left="420"/>
        <w:rPr>
          <w:rFonts w:ascii="Times New Roman" w:hAnsi="Times New Roman" w:eastAsia="仿宋" w:cs="Times New Roman"/>
          <w:b/>
          <w:bCs/>
          <w:sz w:val="28"/>
          <w:szCs w:val="32"/>
        </w:rPr>
      </w:pPr>
      <w:r>
        <w:rPr>
          <w:rFonts w:hint="eastAsia" w:ascii="Times New Roman" w:hAnsi="Times New Roman" w:eastAsia="仿宋" w:cs="Times New Roman"/>
          <w:b/>
          <w:bCs/>
          <w:sz w:val="28"/>
          <w:szCs w:val="32"/>
        </w:rPr>
        <w:t>三、拥有优秀的科研成果：</w:t>
      </w:r>
    </w:p>
    <w:p>
      <w:pPr>
        <w:spacing w:line="360" w:lineRule="auto"/>
        <w:ind w:firstLine="420"/>
        <w:rPr>
          <w:rFonts w:ascii="Times New Roman" w:hAnsi="Times New Roman" w:eastAsia="仿宋" w:cs="Times New Roman"/>
          <w:sz w:val="28"/>
          <w:szCs w:val="32"/>
        </w:rPr>
      </w:pPr>
      <w:r>
        <w:rPr>
          <w:rFonts w:hint="eastAsia" w:ascii="Times New Roman" w:hAnsi="Times New Roman" w:eastAsia="仿宋" w:cs="Times New Roman"/>
          <w:sz w:val="28"/>
          <w:szCs w:val="32"/>
        </w:rPr>
        <w:t>申请人本科阶段积极参加学术研究，表现出优秀的学术发展潜力，在学术期刊发表学业相关的学术论文的，可以选择按照《</w:t>
      </w:r>
      <w:r>
        <w:rPr>
          <w:rFonts w:ascii="Times New Roman" w:hAnsi="Times New Roman" w:eastAsia="仿宋" w:cs="Times New Roman"/>
          <w:sz w:val="28"/>
          <w:szCs w:val="32"/>
        </w:rPr>
        <w:t>实施办法</w:t>
      </w:r>
      <w:r>
        <w:rPr>
          <w:rFonts w:hint="eastAsia" w:ascii="Times New Roman" w:hAnsi="Times New Roman" w:eastAsia="仿宋" w:cs="Times New Roman"/>
          <w:sz w:val="28"/>
          <w:szCs w:val="32"/>
        </w:rPr>
        <w:t>》认定加分，或者按照本细则认定加分。</w:t>
      </w:r>
    </w:p>
    <w:p>
      <w:pPr>
        <w:spacing w:line="360" w:lineRule="auto"/>
        <w:ind w:firstLine="420"/>
        <w:rPr>
          <w:rFonts w:ascii="Times New Roman" w:hAnsi="Times New Roman" w:eastAsia="仿宋" w:cs="Times New Roman"/>
          <w:sz w:val="28"/>
          <w:szCs w:val="32"/>
        </w:rPr>
      </w:pPr>
      <w:r>
        <w:rPr>
          <w:rFonts w:hint="eastAsia" w:ascii="Times New Roman" w:hAnsi="Times New Roman" w:eastAsia="仿宋" w:cs="Times New Roman"/>
          <w:sz w:val="28"/>
          <w:szCs w:val="32"/>
        </w:rPr>
        <w:t>申请人本科阶段在学术期刊发表学业相关的学术论文，作者署名在前三位的，经学院推免生遴选专家小组认定后，按照《</w:t>
      </w:r>
      <w:r>
        <w:rPr>
          <w:rFonts w:hint="eastAsia" w:ascii="Times New Roman" w:hAnsi="Times New Roman" w:eastAsia="仿宋" w:cs="Times New Roman"/>
          <w:color w:val="000000"/>
          <w:kern w:val="0"/>
          <w:sz w:val="28"/>
          <w:szCs w:val="28"/>
        </w:rPr>
        <w:t>数学科学学院推免生遴选学术论文加分折算表》（表</w:t>
      </w:r>
      <w:r>
        <w:rPr>
          <w:rFonts w:ascii="Times New Roman" w:hAnsi="Times New Roman" w:eastAsia="仿宋" w:cs="Times New Roman"/>
          <w:color w:val="000000"/>
          <w:kern w:val="0"/>
          <w:sz w:val="28"/>
          <w:szCs w:val="28"/>
        </w:rPr>
        <w:t>3</w:t>
      </w:r>
      <w:r>
        <w:rPr>
          <w:rFonts w:hint="eastAsia" w:ascii="Times New Roman" w:hAnsi="Times New Roman" w:eastAsia="仿宋" w:cs="Times New Roman"/>
          <w:color w:val="000000"/>
          <w:kern w:val="0"/>
          <w:sz w:val="28"/>
          <w:szCs w:val="28"/>
        </w:rPr>
        <w:t>）进行折算后，计入遴选总成绩。学术期刊的划定范围按照附件《数学科学学院推免生遴选学术期刊分区表》进行认定。</w:t>
      </w:r>
    </w:p>
    <w:p>
      <w:pPr>
        <w:spacing w:line="360" w:lineRule="auto"/>
        <w:ind w:firstLine="420"/>
        <w:rPr>
          <w:rFonts w:ascii="Times New Roman" w:hAnsi="Times New Roman" w:eastAsia="仿宋" w:cs="Times New Roman"/>
          <w:sz w:val="28"/>
          <w:szCs w:val="32"/>
        </w:rPr>
      </w:pPr>
      <w:r>
        <w:rPr>
          <w:rFonts w:hint="eastAsia" w:ascii="Times New Roman" w:hAnsi="Times New Roman" w:eastAsia="仿宋" w:cs="Times New Roman"/>
          <w:sz w:val="28"/>
          <w:szCs w:val="32"/>
        </w:rPr>
        <w:t>文章是否属于学术论文、是否与学业相关、申请人是否对文章有贡献需经学院推免生遴选专家小组鉴定。发表多篇论文不累积计分，只取最高一篇文章得分计入遴选总成绩。科研成果得分与《实施方法》中所述科研成果加分标准不重复计算，只取最高一项得分计入遴选总成绩。申请人与直系亲属合作的成果仅做参考，不计分。</w:t>
      </w:r>
    </w:p>
    <w:p>
      <w:pPr>
        <w:spacing w:line="360" w:lineRule="auto"/>
        <w:ind w:firstLine="420"/>
        <w:rPr>
          <w:rFonts w:ascii="Times New Roman" w:hAnsi="Times New Roman" w:eastAsia="仿宋" w:cs="Times New Roman"/>
          <w:sz w:val="28"/>
          <w:szCs w:val="32"/>
        </w:rPr>
      </w:pPr>
      <w:r>
        <w:rPr>
          <w:rFonts w:hint="eastAsia" w:ascii="Times New Roman" w:hAnsi="Times New Roman" w:eastAsia="仿宋" w:cs="Times New Roman"/>
          <w:sz w:val="28"/>
          <w:szCs w:val="32"/>
        </w:rPr>
        <w:t>没有发表的科研成果，经两名相关学科专家推荐</w:t>
      </w:r>
      <w:r>
        <w:rPr>
          <w:rFonts w:hint="eastAsia" w:ascii="Times New Roman" w:hAnsi="Times New Roman" w:eastAsia="仿宋" w:cs="Times New Roman"/>
          <w:sz w:val="28"/>
          <w:szCs w:val="32"/>
          <w:lang w:eastAsia="zh-CN"/>
        </w:rPr>
        <w:t>（</w:t>
      </w:r>
      <w:r>
        <w:rPr>
          <w:rFonts w:hint="eastAsia" w:ascii="Times New Roman" w:hAnsi="Times New Roman" w:eastAsia="仿宋" w:cs="Times New Roman"/>
          <w:sz w:val="28"/>
          <w:szCs w:val="32"/>
          <w:lang w:val="en-US" w:eastAsia="zh-CN"/>
        </w:rPr>
        <w:t>其中一名须是复旦大学数学科学学院教师）</w:t>
      </w:r>
      <w:r>
        <w:rPr>
          <w:rFonts w:hint="eastAsia" w:ascii="Times New Roman" w:hAnsi="Times New Roman" w:eastAsia="仿宋" w:cs="Times New Roman"/>
          <w:sz w:val="28"/>
          <w:szCs w:val="32"/>
        </w:rPr>
        <w:t>，答辩后由学院推免生遴选专家小组审核认定最多不超过2分计入遴选总成绩，该项得分与已发表的科研成果加分不重复计算，只取最高一项得分计入遴选总成绩。</w:t>
      </w:r>
    </w:p>
    <w:p>
      <w:pPr>
        <w:spacing w:line="360" w:lineRule="auto"/>
        <w:ind w:firstLine="0"/>
        <w:rPr>
          <w:rFonts w:ascii="Times New Roman" w:hAnsi="Times New Roman" w:eastAsia="仿宋" w:cs="Times New Roman"/>
          <w:sz w:val="28"/>
          <w:szCs w:val="32"/>
        </w:rPr>
      </w:pPr>
    </w:p>
    <w:p>
      <w:pPr>
        <w:spacing w:line="360" w:lineRule="auto"/>
        <w:rPr>
          <w:rFonts w:ascii="Times New Roman" w:hAnsi="Times New Roman" w:eastAsia="仿宋" w:cs="Times New Roman"/>
          <w:sz w:val="28"/>
          <w:szCs w:val="32"/>
        </w:rPr>
      </w:pPr>
      <w:r>
        <w:rPr>
          <w:rFonts w:hint="eastAsia" w:ascii="Times New Roman" w:hAnsi="Times New Roman" w:eastAsia="仿宋" w:cs="Times New Roman"/>
          <w:color w:val="000000"/>
          <w:kern w:val="0"/>
          <w:sz w:val="28"/>
          <w:szCs w:val="28"/>
        </w:rPr>
        <w:t>表</w:t>
      </w:r>
      <w:r>
        <w:rPr>
          <w:rFonts w:ascii="Times New Roman" w:hAnsi="Times New Roman" w:eastAsia="仿宋" w:cs="Times New Roman"/>
          <w:color w:val="000000"/>
          <w:kern w:val="0"/>
          <w:sz w:val="28"/>
          <w:szCs w:val="28"/>
        </w:rPr>
        <w:t>3：</w:t>
      </w:r>
      <w:r>
        <w:rPr>
          <w:rFonts w:hint="eastAsia" w:ascii="Times New Roman" w:hAnsi="Times New Roman" w:eastAsia="仿宋" w:cs="Times New Roman"/>
          <w:color w:val="000000"/>
          <w:kern w:val="0"/>
          <w:sz w:val="28"/>
          <w:szCs w:val="28"/>
        </w:rPr>
        <w:t>数学科学学院推免生遴选学术论文加分折算表</w:t>
      </w:r>
    </w:p>
    <w:tbl>
      <w:tblPr>
        <w:tblStyle w:val="5"/>
        <w:tblW w:w="82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529"/>
        <w:gridCol w:w="27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52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ascii="Times New Roman" w:hAnsi="Times New Roman" w:eastAsia="仿宋" w:cs="Times New Roman"/>
                <w:b/>
                <w:bCs/>
                <w:color w:val="000000"/>
                <w:kern w:val="0"/>
                <w:sz w:val="24"/>
                <w:szCs w:val="24"/>
              </w:rPr>
              <w:t>学术期刊类别</w:t>
            </w:r>
          </w:p>
        </w:tc>
        <w:tc>
          <w:tcPr>
            <w:tcW w:w="271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color w:val="000000"/>
                <w:kern w:val="0"/>
                <w:sz w:val="24"/>
                <w:szCs w:val="24"/>
              </w:rPr>
              <w:t>参考计分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5529" w:type="dxa"/>
            <w:tcBorders>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附件表A中所列二区及以上期刊</w:t>
            </w:r>
          </w:p>
        </w:tc>
        <w:tc>
          <w:tcPr>
            <w:tcW w:w="27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最多不超过5分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5529" w:type="dxa"/>
            <w:tcBorders>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附件表B所列二区及以上期刊（但不在表A中）</w:t>
            </w:r>
          </w:p>
        </w:tc>
        <w:tc>
          <w:tcPr>
            <w:tcW w:w="2717" w:type="dxa"/>
            <w:tcBorders>
              <w:top w:val="single" w:color="000000" w:sz="6" w:space="0"/>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最多不超过3分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5529" w:type="dxa"/>
            <w:tcBorders>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其他SCI期刊</w:t>
            </w:r>
          </w:p>
        </w:tc>
        <w:tc>
          <w:tcPr>
            <w:tcW w:w="27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270" w:lineRule="atLeas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最多不超过2分</w:t>
            </w:r>
          </w:p>
        </w:tc>
      </w:tr>
    </w:tbl>
    <w:p>
      <w:pPr>
        <w:spacing w:line="360" w:lineRule="auto"/>
        <w:rPr>
          <w:rFonts w:ascii="Times New Roman" w:hAnsi="Times New Roman" w:eastAsia="仿宋" w:cs="Times New Roman"/>
          <w:sz w:val="28"/>
          <w:szCs w:val="32"/>
        </w:rPr>
      </w:pPr>
    </w:p>
    <w:p>
      <w:pPr>
        <w:widowControl/>
        <w:spacing w:line="360" w:lineRule="auto"/>
        <w:ind w:firstLine="420"/>
        <w:jc w:val="left"/>
        <w:rPr>
          <w:rFonts w:ascii="Times New Roman" w:hAnsi="Times New Roman" w:eastAsia="仿宋" w:cs="Times New Roman"/>
          <w:sz w:val="28"/>
          <w:szCs w:val="32"/>
        </w:rPr>
      </w:pPr>
      <w:r>
        <w:rPr>
          <w:rFonts w:hint="eastAsia" w:ascii="Times New Roman" w:hAnsi="Times New Roman" w:eastAsia="仿宋" w:cs="Times New Roman"/>
          <w:sz w:val="28"/>
          <w:szCs w:val="32"/>
        </w:rPr>
        <w:t>以上综合发展潜力得分，按最高8分计入遴选总成绩。</w:t>
      </w:r>
    </w:p>
    <w:p>
      <w:pPr>
        <w:widowControl/>
        <w:jc w:val="left"/>
        <w:rPr>
          <w:rFonts w:ascii="Times New Roman" w:hAnsi="Times New Roman" w:eastAsia="仿宋" w:cs="Times New Roman"/>
          <w:sz w:val="28"/>
          <w:szCs w:val="32"/>
        </w:rPr>
      </w:pPr>
      <w:r>
        <w:rPr>
          <w:rFonts w:ascii="Times New Roman" w:hAnsi="Times New Roman" w:eastAsia="仿宋" w:cs="Times New Roman"/>
          <w:sz w:val="28"/>
          <w:szCs w:val="32"/>
        </w:rPr>
        <w:br w:type="page"/>
      </w:r>
    </w:p>
    <w:p>
      <w:pPr>
        <w:widowControl/>
        <w:spacing w:line="360" w:lineRule="auto"/>
        <w:jc w:val="left"/>
        <w:rPr>
          <w:rFonts w:ascii="Times New Roman" w:hAnsi="Times New Roman" w:eastAsia="仿宋" w:cs="Times New Roman"/>
          <w:b/>
          <w:bCs/>
          <w:sz w:val="28"/>
          <w:szCs w:val="32"/>
        </w:rPr>
      </w:pPr>
      <w:r>
        <w:rPr>
          <w:rFonts w:hint="eastAsia" w:ascii="Times New Roman" w:hAnsi="Times New Roman" w:eastAsia="仿宋" w:cs="Times New Roman"/>
          <w:b/>
          <w:bCs/>
          <w:sz w:val="28"/>
          <w:szCs w:val="32"/>
        </w:rPr>
        <w:t>附件：数学科学学院推免生遴选学术期刊分区表</w:t>
      </w:r>
    </w:p>
    <w:tbl>
      <w:tblPr>
        <w:tblStyle w:val="5"/>
        <w:tblW w:w="8500" w:type="dxa"/>
        <w:tblInd w:w="0" w:type="dxa"/>
        <w:tblLayout w:type="autofit"/>
        <w:tblCellMar>
          <w:top w:w="0" w:type="dxa"/>
          <w:left w:w="108" w:type="dxa"/>
          <w:bottom w:w="0" w:type="dxa"/>
          <w:right w:w="108" w:type="dxa"/>
        </w:tblCellMar>
      </w:tblPr>
      <w:tblGrid>
        <w:gridCol w:w="811"/>
        <w:gridCol w:w="1216"/>
        <w:gridCol w:w="3825"/>
        <w:gridCol w:w="2648"/>
      </w:tblGrid>
      <w:tr>
        <w:tblPrEx>
          <w:tblCellMar>
            <w:top w:w="0" w:type="dxa"/>
            <w:left w:w="108" w:type="dxa"/>
            <w:bottom w:w="0" w:type="dxa"/>
            <w:right w:w="108" w:type="dxa"/>
          </w:tblCellMar>
        </w:tblPrEx>
        <w:trPr>
          <w:trHeight w:val="338" w:hRule="atLeast"/>
        </w:trPr>
        <w:tc>
          <w:tcPr>
            <w:tcW w:w="850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数学科学学院推免生遴选学术期刊分区表</w:t>
            </w:r>
            <w:r>
              <w:rPr>
                <w:rFonts w:ascii="微软雅黑" w:hAnsi="微软雅黑" w:eastAsia="微软雅黑" w:cs="宋体"/>
                <w:b/>
                <w:bCs/>
                <w:color w:val="000000"/>
                <w:kern w:val="0"/>
                <w:sz w:val="24"/>
                <w:szCs w:val="24"/>
              </w:rPr>
              <w:t>A</w:t>
            </w:r>
          </w:p>
        </w:tc>
      </w:tr>
      <w:tr>
        <w:tblPrEx>
          <w:tblCellMar>
            <w:top w:w="0" w:type="dxa"/>
            <w:left w:w="108" w:type="dxa"/>
            <w:bottom w:w="0" w:type="dxa"/>
            <w:right w:w="108" w:type="dxa"/>
          </w:tblCellMar>
        </w:tblPrEx>
        <w:trPr>
          <w:trHeight w:val="338" w:hRule="atLeast"/>
        </w:trPr>
        <w:tc>
          <w:tcPr>
            <w:tcW w:w="8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分区</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序号</w:t>
            </w:r>
          </w:p>
        </w:tc>
        <w:tc>
          <w:tcPr>
            <w:tcW w:w="3825"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杂志名称</w:t>
            </w:r>
          </w:p>
        </w:tc>
        <w:tc>
          <w:tcPr>
            <w:tcW w:w="2648"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国别</w:t>
            </w:r>
          </w:p>
        </w:tc>
      </w:tr>
      <w:tr>
        <w:tblPrEx>
          <w:tblCellMar>
            <w:top w:w="0" w:type="dxa"/>
            <w:left w:w="108" w:type="dxa"/>
            <w:bottom w:w="0" w:type="dxa"/>
            <w:right w:w="108" w:type="dxa"/>
          </w:tblCellMar>
        </w:tblPrEx>
        <w:trPr>
          <w:trHeight w:val="315" w:hRule="atLeast"/>
        </w:trPr>
        <w:tc>
          <w:tcPr>
            <w:tcW w:w="81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hint="eastAsia" w:ascii="仿宋" w:hAnsi="仿宋" w:eastAsia="仿宋" w:cs="Times New Roman"/>
                <w:color w:val="000000"/>
                <w:kern w:val="0"/>
                <w:sz w:val="22"/>
              </w:rPr>
              <w:t>一区</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ANN MATH</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瑞典</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J AM MATH SOC</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ACTA MATH-DJURSHOLM</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INVENT MATH</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COMMUN PUR APPL MATH</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SIAM REV</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7</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J AM STAT ASSOC</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hint="eastAsia" w:ascii="仿宋" w:hAnsi="仿宋" w:eastAsia="仿宋" w:cs="Times New Roman"/>
                <w:color w:val="000000"/>
                <w:kern w:val="0"/>
                <w:sz w:val="22"/>
              </w:rPr>
              <w:t>二区</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B AM MATH SOC</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J ROY STAT SOC B</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英国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SIAM J OPTIMIZ</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J ROY STAT SOC A STA</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SIAM J NUMER ANAL</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NUMER MATH</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7</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SIAM J CONTROL OPTIM</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8</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MEM AM MATH SOC</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9</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INVERSE PROBL</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TOPOLOGY</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ADV MATH</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J MATH PURE APPL</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SIAM J MATH ANAL</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ANN PROBAB</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J FUNCT ANAL</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DUKE MATH J</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PROBAB THEORY REL</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ANN SCI ECOLE NORM S</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J REINE ANGEW MATH</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J DIFFER EQUATIONS</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J DIFFER GEOM</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MATH ANN</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GEOM FUNCT ANAL</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瑞士</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AM J MATH</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25</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EUR J APPL MATH</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26</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COMMUN PART DIFF EQ</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trPr>
        <w:tc>
          <w:tcPr>
            <w:tcW w:w="81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27</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J ALGEBRAIC GEOM</w:t>
            </w:r>
          </w:p>
        </w:tc>
        <w:tc>
          <w:tcPr>
            <w:tcW w:w="26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bl>
    <w:p>
      <w:pPr>
        <w:widowControl/>
        <w:spacing w:line="360" w:lineRule="auto"/>
        <w:jc w:val="left"/>
        <w:rPr>
          <w:rFonts w:ascii="Times New Roman" w:hAnsi="Times New Roman" w:eastAsia="仿宋" w:cs="Times New Roman"/>
          <w:sz w:val="28"/>
          <w:szCs w:val="32"/>
        </w:rPr>
      </w:pPr>
    </w:p>
    <w:tbl>
      <w:tblPr>
        <w:tblStyle w:val="5"/>
        <w:tblW w:w="8258" w:type="dxa"/>
        <w:jc w:val="center"/>
        <w:tblLayout w:type="autofit"/>
        <w:tblCellMar>
          <w:top w:w="0" w:type="dxa"/>
          <w:left w:w="108" w:type="dxa"/>
          <w:bottom w:w="0" w:type="dxa"/>
          <w:right w:w="108" w:type="dxa"/>
        </w:tblCellMar>
      </w:tblPr>
      <w:tblGrid>
        <w:gridCol w:w="1655"/>
        <w:gridCol w:w="947"/>
        <w:gridCol w:w="4244"/>
        <w:gridCol w:w="1412"/>
      </w:tblGrid>
      <w:tr>
        <w:tblPrEx>
          <w:tblCellMar>
            <w:top w:w="0" w:type="dxa"/>
            <w:left w:w="108" w:type="dxa"/>
            <w:bottom w:w="0" w:type="dxa"/>
            <w:right w:w="108" w:type="dxa"/>
          </w:tblCellMar>
        </w:tblPrEx>
        <w:trPr>
          <w:trHeight w:val="353" w:hRule="atLeast"/>
          <w:jc w:val="center"/>
        </w:trPr>
        <w:tc>
          <w:tcPr>
            <w:tcW w:w="825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数学科学学院推免生遴选学术期刊分区表B</w:t>
            </w:r>
          </w:p>
        </w:tc>
      </w:tr>
      <w:tr>
        <w:tblPrEx>
          <w:tblCellMar>
            <w:top w:w="0" w:type="dxa"/>
            <w:left w:w="108" w:type="dxa"/>
            <w:bottom w:w="0" w:type="dxa"/>
            <w:right w:w="108" w:type="dxa"/>
          </w:tblCellMar>
        </w:tblPrEx>
        <w:trPr>
          <w:trHeight w:val="338" w:hRule="atLeast"/>
          <w:jc w:val="center"/>
        </w:trPr>
        <w:tc>
          <w:tcPr>
            <w:tcW w:w="16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分区</w:t>
            </w:r>
          </w:p>
        </w:tc>
        <w:tc>
          <w:tcPr>
            <w:tcW w:w="947"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序号</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杂志名称</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国别</w:t>
            </w:r>
          </w:p>
        </w:tc>
      </w:tr>
      <w:tr>
        <w:tblPrEx>
          <w:tblCellMar>
            <w:top w:w="0" w:type="dxa"/>
            <w:left w:w="108" w:type="dxa"/>
            <w:bottom w:w="0" w:type="dxa"/>
            <w:right w:w="108" w:type="dxa"/>
          </w:tblCellMar>
        </w:tblPrEx>
        <w:trPr>
          <w:trHeight w:val="315" w:hRule="atLeast"/>
          <w:jc w:val="center"/>
        </w:trPr>
        <w:tc>
          <w:tcPr>
            <w:tcW w:w="16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hint="eastAsia" w:ascii="仿宋" w:hAnsi="仿宋" w:eastAsia="仿宋" w:cs="Times New Roman"/>
                <w:color w:val="000000"/>
                <w:kern w:val="0"/>
                <w:sz w:val="22"/>
              </w:rPr>
              <w:t>一区</w:t>
            </w: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ACTA MATH-DJURSHOLM</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瑞典</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J AM MATH SOC</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ANN MATH</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INVENT MATH</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COMMUN PUR APPL MATH</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SIAM REV</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7</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J AM STAT ASSOC</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8</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B AM MATH SOC</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9</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PUBL MATH-PARIS</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法国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MEM AM MATH SOC</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ANN STAT</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APPL COMPUT HARMON A</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563" w:hRule="atLeast"/>
          <w:jc w:val="center"/>
        </w:trPr>
        <w:tc>
          <w:tcPr>
            <w:tcW w:w="825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基础数学</w:t>
            </w:r>
          </w:p>
        </w:tc>
      </w:tr>
      <w:tr>
        <w:tblPrEx>
          <w:tblCellMar>
            <w:top w:w="0" w:type="dxa"/>
            <w:left w:w="108" w:type="dxa"/>
            <w:bottom w:w="0" w:type="dxa"/>
            <w:right w:w="108" w:type="dxa"/>
          </w:tblCellMar>
        </w:tblPrEx>
        <w:trPr>
          <w:trHeight w:val="315" w:hRule="atLeast"/>
          <w:jc w:val="center"/>
        </w:trPr>
        <w:tc>
          <w:tcPr>
            <w:tcW w:w="16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hint="eastAsia" w:ascii="仿宋" w:hAnsi="仿宋" w:eastAsia="仿宋" w:cs="Times New Roman"/>
                <w:color w:val="000000"/>
                <w:kern w:val="0"/>
                <w:sz w:val="22"/>
              </w:rPr>
              <w:t>二区</w:t>
            </w: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ANN SCI ECOLE NORM S</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DUKE MATH J</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GEOM FUNCT ANAL</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瑞士</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AM J MATH</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J DIFFER GEOM</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ADV MATH</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7</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J ALGEBRAIC GEOM</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8</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J REINE ANGEW MATH</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9</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MATH ANN</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10</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J FUNCT ANAL</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COMMUN PART DIFF EQ</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J DIFFER EQUATIONS</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13</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J TOPOL</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J EUR MATH SOC</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15</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GEOM TOPOL</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16</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P LOND MATH SOC</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COMMENT MATH HELV</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瑞士</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18</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COMPOS MATH</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荷兰</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19</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9"/>
                <w:szCs w:val="19"/>
              </w:rPr>
            </w:pPr>
            <w:r>
              <w:rPr>
                <w:rFonts w:ascii="Times New Roman" w:hAnsi="Times New Roman" w:eastAsia="等线" w:cs="Times New Roman"/>
                <w:color w:val="000000"/>
                <w:kern w:val="0"/>
                <w:sz w:val="19"/>
                <w:szCs w:val="19"/>
              </w:rPr>
              <w:t>CALC VAR PARTIAL DIF</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20</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T AM MATH SOC</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21</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ANN I FOURIER</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法国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ERGOD THEOR DYN SYST</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23</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J LOND MATH SOC</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24</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MATH RES LETTER</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25</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ISR J MATH</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以色列</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26</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INT MATH RES NOTICES</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27</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MATH Z</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28</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COMMUN ANAL GEOM</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29</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J ALGEBRA</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30</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J NONCOMMUT GEOM</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瑞士</w:t>
            </w:r>
          </w:p>
        </w:tc>
      </w:tr>
      <w:tr>
        <w:tblPrEx>
          <w:tblCellMar>
            <w:top w:w="0" w:type="dxa"/>
            <w:left w:w="108" w:type="dxa"/>
            <w:bottom w:w="0" w:type="dxa"/>
            <w:right w:w="108" w:type="dxa"/>
          </w:tblCellMar>
        </w:tblPrEx>
        <w:trPr>
          <w:trHeight w:val="563" w:hRule="atLeast"/>
          <w:jc w:val="center"/>
        </w:trPr>
        <w:tc>
          <w:tcPr>
            <w:tcW w:w="825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应用数学</w:t>
            </w:r>
          </w:p>
        </w:tc>
      </w:tr>
      <w:tr>
        <w:tblPrEx>
          <w:tblCellMar>
            <w:top w:w="0" w:type="dxa"/>
            <w:left w:w="108" w:type="dxa"/>
            <w:bottom w:w="0" w:type="dxa"/>
            <w:right w:w="108" w:type="dxa"/>
          </w:tblCellMar>
        </w:tblPrEx>
        <w:trPr>
          <w:trHeight w:val="315" w:hRule="atLeast"/>
          <w:jc w:val="center"/>
        </w:trPr>
        <w:tc>
          <w:tcPr>
            <w:tcW w:w="16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hint="eastAsia" w:ascii="仿宋" w:hAnsi="仿宋" w:eastAsia="仿宋" w:cs="Times New Roman"/>
                <w:color w:val="000000"/>
                <w:kern w:val="0"/>
                <w:sz w:val="22"/>
              </w:rPr>
              <w:t>二区</w:t>
            </w: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31</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J MATH PURE APPL</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32</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SIAM J OPTIMIZ</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33</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SIAM J NUMER ANAL</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34</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NUMER MATH</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35</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SIAM J MATH ANAL</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36</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SIAM J CONTROL OPTIM</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37</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INVERSE PROBL</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38</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EUR J APPL MATH</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39</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ARCH RATION MECH AN</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40</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MATH PROGRAM</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41</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MULTISCALE MODEL SIM</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42</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COMMUN MATH PHYS</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43</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ACM T MATH SOFTWARE</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44</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SIAM J SCI COMPUT</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45</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SIAM J COMPUT</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46</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J COMPUT PHYS</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47</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INVERSE PROBL IMAG</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48</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SIAM J MATRIX ANAL A</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49</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MATH COMPUT</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50</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COMPUT METHOD APPL M</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荷兰</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51</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IMA J NUMER ANAL</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52</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ANN I H POINCARE-AN</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法国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53</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MATH MOD METH APPL S</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新加波</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54</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ADV THEOR MATH PHYS</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55</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ESAIM CONTR OPTIM CA</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法国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56</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SIAM J APPL MATH</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57</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J SCI COMPUT</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58</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SYST CONTROL LETT</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荷兰</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59</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ADV COMPUT MATH</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荷兰</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60</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INT J NUMER METH ENG</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61</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ANN HENRI POINCARE</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瑞士</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62</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J THEOR BIOL</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38" w:hRule="atLeast"/>
          <w:jc w:val="center"/>
        </w:trPr>
        <w:tc>
          <w:tcPr>
            <w:tcW w:w="825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概率和统计</w:t>
            </w:r>
          </w:p>
        </w:tc>
      </w:tr>
      <w:tr>
        <w:tblPrEx>
          <w:tblCellMar>
            <w:top w:w="0" w:type="dxa"/>
            <w:left w:w="108" w:type="dxa"/>
            <w:bottom w:w="0" w:type="dxa"/>
            <w:right w:w="108" w:type="dxa"/>
          </w:tblCellMar>
        </w:tblPrEx>
        <w:trPr>
          <w:trHeight w:val="315" w:hRule="atLeast"/>
          <w:jc w:val="center"/>
        </w:trPr>
        <w:tc>
          <w:tcPr>
            <w:tcW w:w="16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hint="eastAsia" w:ascii="仿宋" w:hAnsi="仿宋" w:eastAsia="仿宋" w:cs="Times New Roman"/>
                <w:color w:val="000000"/>
                <w:kern w:val="0"/>
                <w:sz w:val="22"/>
              </w:rPr>
              <w:t>二区</w:t>
            </w: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63</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J ROY STAT SOC B</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64</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ANN PROBAB</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65</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PROBAB THEORY REL</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德国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66</w:t>
            </w:r>
          </w:p>
        </w:tc>
        <w:tc>
          <w:tcPr>
            <w:tcW w:w="42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J ROY STAT SOC A STA</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67</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BIOMETRIKA</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英国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68</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ANN APPL PROBAB</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美国</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69</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BERNOULLI</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荷兰</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70</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STOCH PROC APPL</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荷兰</w:t>
            </w:r>
          </w:p>
        </w:tc>
      </w:tr>
      <w:tr>
        <w:tblPrEx>
          <w:tblCellMar>
            <w:top w:w="0" w:type="dxa"/>
            <w:left w:w="108" w:type="dxa"/>
            <w:bottom w:w="0" w:type="dxa"/>
            <w:right w:w="108" w:type="dxa"/>
          </w:tblCellMar>
        </w:tblPrEx>
        <w:trPr>
          <w:trHeight w:val="315" w:hRule="atLeast"/>
          <w:jc w:val="center"/>
        </w:trPr>
        <w:tc>
          <w:tcPr>
            <w:tcW w:w="16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color w:val="000000"/>
                <w:kern w:val="0"/>
                <w:sz w:val="22"/>
              </w:rPr>
            </w:pPr>
          </w:p>
        </w:tc>
        <w:tc>
          <w:tcPr>
            <w:tcW w:w="94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71</w:t>
            </w:r>
          </w:p>
        </w:tc>
        <w:tc>
          <w:tcPr>
            <w:tcW w:w="42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ANN I H POINCARE-PR</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24"/>
                <w:szCs w:val="24"/>
              </w:rPr>
            </w:pPr>
            <w:r>
              <w:rPr>
                <w:rFonts w:hint="eastAsia" w:ascii="仿宋" w:hAnsi="仿宋" w:eastAsia="仿宋" w:cs="Times New Roman"/>
                <w:color w:val="000000"/>
                <w:kern w:val="0"/>
                <w:sz w:val="24"/>
                <w:szCs w:val="24"/>
              </w:rPr>
              <w:t>法国</w:t>
            </w:r>
          </w:p>
        </w:tc>
      </w:tr>
    </w:tbl>
    <w:p>
      <w:pPr>
        <w:widowControl/>
        <w:spacing w:line="360" w:lineRule="auto"/>
        <w:jc w:val="left"/>
        <w:rPr>
          <w:rFonts w:ascii="Times New Roman" w:hAnsi="Times New Roman" w:eastAsia="仿宋" w:cs="Times New Roman"/>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zYTA3YTMwY2MwYjAxYjE1OTU0MDdkMWU3MGM3NzQifQ=="/>
  </w:docVars>
  <w:rsids>
    <w:rsidRoot w:val="00EC3482"/>
    <w:rsid w:val="000005F5"/>
    <w:rsid w:val="00002BEB"/>
    <w:rsid w:val="000121F7"/>
    <w:rsid w:val="00020745"/>
    <w:rsid w:val="00025E7B"/>
    <w:rsid w:val="00032AEE"/>
    <w:rsid w:val="00034359"/>
    <w:rsid w:val="00061C7D"/>
    <w:rsid w:val="00064022"/>
    <w:rsid w:val="000765C8"/>
    <w:rsid w:val="00080BDB"/>
    <w:rsid w:val="0009229A"/>
    <w:rsid w:val="000A5712"/>
    <w:rsid w:val="000B2280"/>
    <w:rsid w:val="000B280D"/>
    <w:rsid w:val="000B764F"/>
    <w:rsid w:val="000C14A2"/>
    <w:rsid w:val="000C35B1"/>
    <w:rsid w:val="000C378B"/>
    <w:rsid w:val="000C6B77"/>
    <w:rsid w:val="000D5EB9"/>
    <w:rsid w:val="000E03DF"/>
    <w:rsid w:val="000E2A58"/>
    <w:rsid w:val="000F26AF"/>
    <w:rsid w:val="001076A1"/>
    <w:rsid w:val="001132AA"/>
    <w:rsid w:val="001204A0"/>
    <w:rsid w:val="001243CF"/>
    <w:rsid w:val="00127B1F"/>
    <w:rsid w:val="001959DA"/>
    <w:rsid w:val="001B167C"/>
    <w:rsid w:val="001B30FA"/>
    <w:rsid w:val="001C27DB"/>
    <w:rsid w:val="001C696F"/>
    <w:rsid w:val="001D68BA"/>
    <w:rsid w:val="001F2952"/>
    <w:rsid w:val="00216A52"/>
    <w:rsid w:val="002230C4"/>
    <w:rsid w:val="0023025B"/>
    <w:rsid w:val="00255AC1"/>
    <w:rsid w:val="0026102B"/>
    <w:rsid w:val="00275A01"/>
    <w:rsid w:val="00277F32"/>
    <w:rsid w:val="002E2BB9"/>
    <w:rsid w:val="002E72F8"/>
    <w:rsid w:val="002F040B"/>
    <w:rsid w:val="002F471B"/>
    <w:rsid w:val="002F73B0"/>
    <w:rsid w:val="00340617"/>
    <w:rsid w:val="00346729"/>
    <w:rsid w:val="00350E15"/>
    <w:rsid w:val="00360F47"/>
    <w:rsid w:val="003669A5"/>
    <w:rsid w:val="00373661"/>
    <w:rsid w:val="00391EF9"/>
    <w:rsid w:val="003A42B5"/>
    <w:rsid w:val="003A55D5"/>
    <w:rsid w:val="003A72B4"/>
    <w:rsid w:val="003C1287"/>
    <w:rsid w:val="003D4B52"/>
    <w:rsid w:val="00405CC4"/>
    <w:rsid w:val="0043409D"/>
    <w:rsid w:val="004342F0"/>
    <w:rsid w:val="00455C6F"/>
    <w:rsid w:val="00460593"/>
    <w:rsid w:val="00467725"/>
    <w:rsid w:val="00490287"/>
    <w:rsid w:val="004A19F6"/>
    <w:rsid w:val="004B3415"/>
    <w:rsid w:val="004F0FB3"/>
    <w:rsid w:val="004F364B"/>
    <w:rsid w:val="004F6AED"/>
    <w:rsid w:val="004F7C33"/>
    <w:rsid w:val="00524388"/>
    <w:rsid w:val="00527F8E"/>
    <w:rsid w:val="005319E0"/>
    <w:rsid w:val="00533025"/>
    <w:rsid w:val="0054040D"/>
    <w:rsid w:val="00542BAC"/>
    <w:rsid w:val="005460B9"/>
    <w:rsid w:val="005515AD"/>
    <w:rsid w:val="0055305E"/>
    <w:rsid w:val="00580427"/>
    <w:rsid w:val="00582B3D"/>
    <w:rsid w:val="005839C6"/>
    <w:rsid w:val="0059623E"/>
    <w:rsid w:val="005A3FEC"/>
    <w:rsid w:val="005B04D5"/>
    <w:rsid w:val="005B7610"/>
    <w:rsid w:val="005C1F77"/>
    <w:rsid w:val="005E13B8"/>
    <w:rsid w:val="005E1DC3"/>
    <w:rsid w:val="005F1588"/>
    <w:rsid w:val="00615DFB"/>
    <w:rsid w:val="00616D1E"/>
    <w:rsid w:val="00622E9C"/>
    <w:rsid w:val="0063045D"/>
    <w:rsid w:val="00643B4A"/>
    <w:rsid w:val="00655C5F"/>
    <w:rsid w:val="00660710"/>
    <w:rsid w:val="00660784"/>
    <w:rsid w:val="00660E86"/>
    <w:rsid w:val="00684DD8"/>
    <w:rsid w:val="006963AB"/>
    <w:rsid w:val="006A1934"/>
    <w:rsid w:val="006A582D"/>
    <w:rsid w:val="006B2313"/>
    <w:rsid w:val="006D64DF"/>
    <w:rsid w:val="006D692C"/>
    <w:rsid w:val="006F034C"/>
    <w:rsid w:val="006F7CE1"/>
    <w:rsid w:val="006F7EB1"/>
    <w:rsid w:val="00716754"/>
    <w:rsid w:val="00722F46"/>
    <w:rsid w:val="007245D8"/>
    <w:rsid w:val="00734240"/>
    <w:rsid w:val="00734BC9"/>
    <w:rsid w:val="007414F7"/>
    <w:rsid w:val="00743BDB"/>
    <w:rsid w:val="007479C3"/>
    <w:rsid w:val="00752024"/>
    <w:rsid w:val="0075292A"/>
    <w:rsid w:val="00760C39"/>
    <w:rsid w:val="00772D49"/>
    <w:rsid w:val="00781ED2"/>
    <w:rsid w:val="00792FAC"/>
    <w:rsid w:val="00796E07"/>
    <w:rsid w:val="007C547F"/>
    <w:rsid w:val="007D65A2"/>
    <w:rsid w:val="007D6FB2"/>
    <w:rsid w:val="007E04F4"/>
    <w:rsid w:val="007E14ED"/>
    <w:rsid w:val="007E5202"/>
    <w:rsid w:val="00803C98"/>
    <w:rsid w:val="00810C89"/>
    <w:rsid w:val="00811023"/>
    <w:rsid w:val="008216D8"/>
    <w:rsid w:val="00824A37"/>
    <w:rsid w:val="00824E5E"/>
    <w:rsid w:val="00831D75"/>
    <w:rsid w:val="0085096D"/>
    <w:rsid w:val="0085478D"/>
    <w:rsid w:val="00860607"/>
    <w:rsid w:val="00861C63"/>
    <w:rsid w:val="0087048B"/>
    <w:rsid w:val="0087589A"/>
    <w:rsid w:val="00885018"/>
    <w:rsid w:val="008942FD"/>
    <w:rsid w:val="00897175"/>
    <w:rsid w:val="008E175A"/>
    <w:rsid w:val="008F1EB7"/>
    <w:rsid w:val="008F2139"/>
    <w:rsid w:val="008F726C"/>
    <w:rsid w:val="00902B86"/>
    <w:rsid w:val="00914E9B"/>
    <w:rsid w:val="00926141"/>
    <w:rsid w:val="00941192"/>
    <w:rsid w:val="00942983"/>
    <w:rsid w:val="00947AA6"/>
    <w:rsid w:val="00964E69"/>
    <w:rsid w:val="009752E9"/>
    <w:rsid w:val="0097718A"/>
    <w:rsid w:val="00977556"/>
    <w:rsid w:val="00987E8D"/>
    <w:rsid w:val="00997018"/>
    <w:rsid w:val="009B5615"/>
    <w:rsid w:val="009C6508"/>
    <w:rsid w:val="009C7DE5"/>
    <w:rsid w:val="009D4A8D"/>
    <w:rsid w:val="009E5C8F"/>
    <w:rsid w:val="00A04203"/>
    <w:rsid w:val="00A05ED8"/>
    <w:rsid w:val="00A120C2"/>
    <w:rsid w:val="00A174CD"/>
    <w:rsid w:val="00A21758"/>
    <w:rsid w:val="00A24F0A"/>
    <w:rsid w:val="00A27F06"/>
    <w:rsid w:val="00A33F28"/>
    <w:rsid w:val="00A452B4"/>
    <w:rsid w:val="00A84F83"/>
    <w:rsid w:val="00A918F9"/>
    <w:rsid w:val="00A97F79"/>
    <w:rsid w:val="00AA43C1"/>
    <w:rsid w:val="00AA7D54"/>
    <w:rsid w:val="00AB1A9B"/>
    <w:rsid w:val="00AC1630"/>
    <w:rsid w:val="00AC61ED"/>
    <w:rsid w:val="00AC6C00"/>
    <w:rsid w:val="00AD4DBB"/>
    <w:rsid w:val="00AE6593"/>
    <w:rsid w:val="00B051B5"/>
    <w:rsid w:val="00B07BA8"/>
    <w:rsid w:val="00B30C5B"/>
    <w:rsid w:val="00B46FD1"/>
    <w:rsid w:val="00B67B9C"/>
    <w:rsid w:val="00B760C5"/>
    <w:rsid w:val="00B96E52"/>
    <w:rsid w:val="00BA7265"/>
    <w:rsid w:val="00BB0836"/>
    <w:rsid w:val="00BB4516"/>
    <w:rsid w:val="00BD04D6"/>
    <w:rsid w:val="00BD164F"/>
    <w:rsid w:val="00BD2341"/>
    <w:rsid w:val="00BD7891"/>
    <w:rsid w:val="00BF6725"/>
    <w:rsid w:val="00C004D3"/>
    <w:rsid w:val="00C03B26"/>
    <w:rsid w:val="00C25635"/>
    <w:rsid w:val="00C25D5E"/>
    <w:rsid w:val="00C30F6E"/>
    <w:rsid w:val="00C45A0F"/>
    <w:rsid w:val="00C46088"/>
    <w:rsid w:val="00C603D8"/>
    <w:rsid w:val="00C73103"/>
    <w:rsid w:val="00C81DA8"/>
    <w:rsid w:val="00CB3E02"/>
    <w:rsid w:val="00CB6325"/>
    <w:rsid w:val="00CD615E"/>
    <w:rsid w:val="00CE05CA"/>
    <w:rsid w:val="00CE17E4"/>
    <w:rsid w:val="00D01B3E"/>
    <w:rsid w:val="00D04B80"/>
    <w:rsid w:val="00D07EEA"/>
    <w:rsid w:val="00D201B4"/>
    <w:rsid w:val="00D406F7"/>
    <w:rsid w:val="00D41455"/>
    <w:rsid w:val="00D47D47"/>
    <w:rsid w:val="00D56576"/>
    <w:rsid w:val="00D743D7"/>
    <w:rsid w:val="00D818F1"/>
    <w:rsid w:val="00D878F1"/>
    <w:rsid w:val="00DB4A15"/>
    <w:rsid w:val="00DB60C1"/>
    <w:rsid w:val="00DC4ACD"/>
    <w:rsid w:val="00DD4060"/>
    <w:rsid w:val="00DD798D"/>
    <w:rsid w:val="00DE5253"/>
    <w:rsid w:val="00DE56E5"/>
    <w:rsid w:val="00DF34C5"/>
    <w:rsid w:val="00E05297"/>
    <w:rsid w:val="00E21A15"/>
    <w:rsid w:val="00E4191A"/>
    <w:rsid w:val="00E710EB"/>
    <w:rsid w:val="00E76508"/>
    <w:rsid w:val="00E80104"/>
    <w:rsid w:val="00E90FC1"/>
    <w:rsid w:val="00EA16FB"/>
    <w:rsid w:val="00EA2B8D"/>
    <w:rsid w:val="00EA6C11"/>
    <w:rsid w:val="00EB5DA2"/>
    <w:rsid w:val="00EC3482"/>
    <w:rsid w:val="00F01557"/>
    <w:rsid w:val="00F04ED6"/>
    <w:rsid w:val="00F10B83"/>
    <w:rsid w:val="00F17594"/>
    <w:rsid w:val="00F263AC"/>
    <w:rsid w:val="00F32A35"/>
    <w:rsid w:val="00F34866"/>
    <w:rsid w:val="00F848CC"/>
    <w:rsid w:val="00F965BF"/>
    <w:rsid w:val="00F97AB9"/>
    <w:rsid w:val="00FA67EA"/>
    <w:rsid w:val="00FA7FC6"/>
    <w:rsid w:val="00FB55AF"/>
    <w:rsid w:val="00FD363F"/>
    <w:rsid w:val="00FE1EB7"/>
    <w:rsid w:val="00FF0133"/>
    <w:rsid w:val="00FF0B96"/>
    <w:rsid w:val="13A86155"/>
    <w:rsid w:val="17C96A98"/>
    <w:rsid w:val="3B2E1A0E"/>
    <w:rsid w:val="3F8311CE"/>
    <w:rsid w:val="52FC79A6"/>
    <w:rsid w:val="5A265024"/>
    <w:rsid w:val="5FEF697A"/>
    <w:rsid w:val="684F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styleId="11">
    <w:name w:val="Placeholder Text"/>
    <w:basedOn w:val="6"/>
    <w:semiHidden/>
    <w:qFormat/>
    <w:uiPriority w:val="99"/>
    <w:rPr>
      <w:color w:val="808080"/>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0F825-76E5-4667-A776-ACB6976A5AA7}">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2290</Words>
  <Characters>3490</Characters>
  <Lines>31</Lines>
  <Paragraphs>8</Paragraphs>
  <TotalTime>28</TotalTime>
  <ScaleCrop>false</ScaleCrop>
  <LinksUpToDate>false</LinksUpToDate>
  <CharactersWithSpaces>3757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2022-09-09T02:22:00Z</dcterms:created>
  <dc:creator>竑毅 杜</dc:creator>
  <cp:lastModifiedBy>杜雅倩</cp:lastModifiedBy>
  <cp:lastPrinted>2022-09-14T01:03:00Z</cp:lastPrinted>
  <dcterms:modified xsi:type="dcterms:W3CDTF">2023-09-19T05:47:48Z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2DA33624AD8749B2974E804EF40245F5</vt:lpwstr>
  </property>
</Properties>
</file>